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3" w:rsidRPr="00C20DC3" w:rsidRDefault="00C20DC3" w:rsidP="00C20DC3">
      <w:pPr>
        <w:shd w:val="clear" w:color="auto" w:fill="FFFFFF"/>
        <w:spacing w:before="180" w:after="0" w:line="240" w:lineRule="auto"/>
        <w:outlineLvl w:val="2"/>
        <w:rPr>
          <w:rFonts w:ascii="Merriweather" w:eastAsia="Times New Roman" w:hAnsi="Merriweather" w:cs="Times New Roman"/>
          <w:color w:val="000000"/>
          <w:sz w:val="45"/>
          <w:szCs w:val="45"/>
          <w:lang w:eastAsia="es-AR"/>
        </w:rPr>
      </w:pPr>
      <w:r w:rsidRPr="00C20DC3">
        <w:rPr>
          <w:rFonts w:ascii="Merriweather" w:eastAsia="Times New Roman" w:hAnsi="Merriweather" w:cs="Times New Roman"/>
          <w:color w:val="000000"/>
          <w:sz w:val="45"/>
          <w:szCs w:val="45"/>
          <w:lang w:eastAsia="es-AR"/>
        </w:rPr>
        <w:t>RG 4140-E AFIP Ganancias. Régimen de anticipos</w:t>
      </w:r>
    </w:p>
    <w:p w:rsidR="00C20DC3" w:rsidRPr="00C20DC3" w:rsidRDefault="00C20DC3" w:rsidP="00C20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ADMINISTRACIÓN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FEDERAL DE INGRESOS PÚBLICOS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Resolución General 4140-E</w:t>
      </w:r>
    </w:p>
    <w:p w:rsidR="00C20DC3" w:rsidRPr="00C20DC3" w:rsidRDefault="00C20DC3" w:rsidP="00C20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</w:p>
    <w:p w:rsidR="00C20DC3" w:rsidRPr="00C20DC3" w:rsidRDefault="00C20DC3" w:rsidP="00C20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Impuesto a las Ganancias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. Régimen de anticipos. Resolución General N° 4.034-E y sus complementarias. Su modificación.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Ciudad de Buenos Aires, 03/10/2017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VISTO la Resolución General N° 4.034-E y sus complementarias, y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CONSIDERANDO: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Que la citada resolución general dispuso los procedimientos, formalidades, plazos y demás condiciones que deben observar los sujetos alcanzados por el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impuesto a las ganancias, para determinar e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ingresar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los anticipos a cuenta del mencionado gravamen.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Que razones de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administración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tributaria aconsejan efectuar determinadas </w:t>
      </w:r>
      <w:proofErr w:type="gramStart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adecuaciones</w:t>
      </w:r>
      <w:proofErr w:type="gramEnd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al procedimiento y demás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requisitos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previstos en la aludida norma, para el régimen opcional de determinación e ingreso.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Que han tomado la intervención que les compete la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Dirección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de Legislación, las Subdirecciones Generales de Asuntos Jurídicos, de Recaudación, de Sistemas y Telecomunicaciones, de Servicios al Contribuyente y de Técnico Legal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Impositiva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, y la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Dirección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General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Impositiva.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Que la presente se dicta en ejercicio de las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facultades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conferidas por el Artículo 21 de la Ley N° 11.683, texto ordenado en 1998 y sus modificaciones, y por el Artículo 7° del Decreto N° 618 del 10 de julio de 1997, sus modificatorios y sus complementarios.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Por ello,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EL ADMINISTRADOR FEDERAL DE LA ADMINISTRACIÓN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FEDERAL DE INGRESOS PÚBLICOS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RESUELVE: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 xml:space="preserve">ARTÍCULO 1°.- </w:t>
      </w:r>
      <w:proofErr w:type="spellStart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Modifícase</w:t>
      </w:r>
      <w:proofErr w:type="spellEnd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la Resolución General N° 4.034-E y sus complementarias, en la forma que se indica a continuación: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 xml:space="preserve">1. </w:t>
      </w:r>
      <w:proofErr w:type="spellStart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Sustitúyese</w:t>
      </w:r>
      <w:proofErr w:type="spellEnd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el inciso c) del Artículo 10, por el siguiente: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lastRenderedPageBreak/>
        <w:br/>
        <w:t>"c) No tener presentada una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solicitud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de reducción de anticipos del mismo impuesto y período dentro del plazo de CUARENTA Y CINCO (45)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días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corridos.".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 xml:space="preserve">2. </w:t>
      </w:r>
      <w:proofErr w:type="spellStart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Sustitúyese</w:t>
      </w:r>
      <w:proofErr w:type="spellEnd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el Artículo 13, por el siguiente: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"ARTÍCULO 13.- Una vez ejercida la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solicitud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de opción, la misma será registrada en el sistema disminuyendo la totalidad de los anticipos del período fiscal de que se trate.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La mencionada opción tendrá efecto a partir del primer anticipo que venza con posterioridad a haberse efectuado el ejercicio de la misma.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La denegatoria de la opción por parte de este Organismo dará lugar al ingreso de los anticipos impagos y sus respectivos intereses. De encontrarse presentada la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declaración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jurada del período, se calcularán los intereses que correspondan.".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ARTÍCULO 2°.- Las disposiciones de esta resolución general entrarán en vigencia el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día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siguiente al de su publicación en el Boletín Oficial.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 xml:space="preserve">ARTÍCULO 3°.- Comuníquese, publíquese, </w:t>
      </w:r>
      <w:proofErr w:type="spellStart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dése</w:t>
      </w:r>
      <w:proofErr w:type="spellEnd"/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 xml:space="preserve"> a la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Dirección</w:t>
      </w:r>
      <w:r w:rsidRPr="00C20DC3">
        <w:rPr>
          <w:rFonts w:ascii="Arial" w:eastAsia="Times New Roman" w:hAnsi="Arial" w:cs="Arial"/>
          <w:color w:val="000000"/>
          <w:sz w:val="23"/>
          <w:lang w:eastAsia="es-AR"/>
        </w:rPr>
        <w:t> 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t>Nacional del Registro Oficial y archívese. — Alberto R. Abad.</w:t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</w:r>
      <w:r w:rsidRPr="00C20DC3">
        <w:rPr>
          <w:rFonts w:ascii="Arial" w:eastAsia="Times New Roman" w:hAnsi="Arial" w:cs="Arial"/>
          <w:color w:val="000000"/>
          <w:sz w:val="23"/>
          <w:szCs w:val="23"/>
          <w:lang w:eastAsia="es-AR"/>
        </w:rPr>
        <w:br/>
        <w:t>e. 04/10/2017 N° 75191/17 v. 04/10/2017</w:t>
      </w:r>
    </w:p>
    <w:p w:rsidR="00C20DC3" w:rsidRPr="00C20DC3" w:rsidRDefault="00C20DC3" w:rsidP="00C20DC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C20DC3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..........................................................................................................</w:t>
      </w:r>
    </w:p>
    <w:p w:rsidR="00FB07F6" w:rsidRDefault="00FB07F6"/>
    <w:sectPr w:rsidR="00FB07F6" w:rsidSect="00FB0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DC3"/>
    <w:rsid w:val="00C20DC3"/>
    <w:rsid w:val="00F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F6"/>
  </w:style>
  <w:style w:type="paragraph" w:styleId="Ttulo3">
    <w:name w:val="heading 3"/>
    <w:basedOn w:val="Normal"/>
    <w:link w:val="Ttulo3Car"/>
    <w:uiPriority w:val="9"/>
    <w:qFormat/>
    <w:rsid w:val="00C20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20DC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t-label">
    <w:name w:val="at-label"/>
    <w:basedOn w:val="Fuentedeprrafopredeter"/>
    <w:rsid w:val="00C20DC3"/>
  </w:style>
  <w:style w:type="character" w:customStyle="1" w:styleId="at4-share-count-container">
    <w:name w:val="at4-share-count-container"/>
    <w:basedOn w:val="Fuentedeprrafopredeter"/>
    <w:rsid w:val="00C20DC3"/>
  </w:style>
  <w:style w:type="character" w:customStyle="1" w:styleId="ilad">
    <w:name w:val="il_ad"/>
    <w:basedOn w:val="Fuentedeprrafopredeter"/>
    <w:rsid w:val="00C20DC3"/>
  </w:style>
  <w:style w:type="character" w:customStyle="1" w:styleId="apple-converted-space">
    <w:name w:val="apple-converted-space"/>
    <w:basedOn w:val="Fuentedeprrafopredeter"/>
    <w:rsid w:val="00C20DC3"/>
  </w:style>
  <w:style w:type="paragraph" w:styleId="Textodeglobo">
    <w:name w:val="Balloon Text"/>
    <w:basedOn w:val="Normal"/>
    <w:link w:val="TextodegloboCar"/>
    <w:uiPriority w:val="99"/>
    <w:semiHidden/>
    <w:unhideWhenUsed/>
    <w:rsid w:val="00C2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2017-10-05T14:24:00Z</dcterms:created>
  <dcterms:modified xsi:type="dcterms:W3CDTF">2017-10-05T14:25:00Z</dcterms:modified>
</cp:coreProperties>
</file>